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line="192.00000000000003" w:lineRule="auto"/>
        <w:rPr/>
      </w:pPr>
      <w:bookmarkStart w:colFirst="0" w:colLast="0" w:name="_heading=h.wxoqlaihgf00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line="192.00000000000003" w:lineRule="auto"/>
        <w:rPr/>
      </w:pPr>
      <w:bookmarkStart w:colFirst="0" w:colLast="0" w:name="_heading=h.55yk69b1hx0q" w:id="1"/>
      <w:bookmarkEnd w:id="1"/>
      <w:r w:rsidDel="00000000" w:rsidR="00000000" w:rsidRPr="00000000">
        <w:rPr>
          <w:color w:val="000000"/>
          <w:sz w:val="72"/>
          <w:szCs w:val="72"/>
          <w:rtl w:val="0"/>
        </w:rPr>
        <w:t xml:space="preserve">ANEXO IV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Subtitle"/>
        <w:rPr>
          <w:sz w:val="28"/>
          <w:szCs w:val="28"/>
        </w:rPr>
      </w:pPr>
      <w:bookmarkStart w:colFirst="0" w:colLast="0" w:name="_heading=h.fz6h2ivi1an3" w:id="2"/>
      <w:bookmarkEnd w:id="2"/>
      <w:r w:rsidDel="00000000" w:rsidR="00000000" w:rsidRPr="00000000">
        <w:rPr>
          <w:color w:val="3648cc"/>
          <w:rtl w:val="0"/>
        </w:rPr>
        <w:t xml:space="preserve">BIOGRAFÍAS DEL JURADO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Juan Manuel Bonet (presidente)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Crítico e historiador del arte (París, 1953), poeta y comisario de exposiciones. Dirigió el IVAM (1995–2000), el Museo Nacional Centro de Arte Reina Sofía (2000–2004) y el Instituto Cervantes (2017–2018). Su obra de referencia es el </w:t>
      </w:r>
      <w:r w:rsidDel="00000000" w:rsidR="00000000" w:rsidRPr="00000000">
        <w:rPr>
          <w:i w:val="1"/>
          <w:sz w:val="28"/>
          <w:szCs w:val="28"/>
          <w:rtl w:val="0"/>
        </w:rPr>
        <w:t xml:space="preserve">Diccionario de las vanguardias en España (1907–1936)</w:t>
      </w:r>
      <w:r w:rsidDel="00000000" w:rsidR="00000000" w:rsidRPr="00000000">
        <w:rPr>
          <w:sz w:val="28"/>
          <w:szCs w:val="28"/>
          <w:rtl w:val="0"/>
        </w:rPr>
        <w:t xml:space="preserve">, fruto de décadas de investigación sobre las artes y letras del primer tercio del siglo XX. Ha sido también galerista y asesor de colecciones, y ha comisariado muestras sobre surrealismo, ultraísmo y modernidad española. En prensa ha colaborado con </w:t>
      </w:r>
      <w:r w:rsidDel="00000000" w:rsidR="00000000" w:rsidRPr="00000000">
        <w:rPr>
          <w:i w:val="1"/>
          <w:sz w:val="28"/>
          <w:szCs w:val="28"/>
          <w:rtl w:val="0"/>
        </w:rPr>
        <w:t xml:space="preserve">ABC</w:t>
      </w:r>
      <w:r w:rsidDel="00000000" w:rsidR="00000000" w:rsidRPr="00000000">
        <w:rPr>
          <w:sz w:val="28"/>
          <w:szCs w:val="28"/>
          <w:rtl w:val="0"/>
        </w:rPr>
        <w:t xml:space="preserve"> y </w:t>
      </w:r>
      <w:r w:rsidDel="00000000" w:rsidR="00000000" w:rsidRPr="00000000">
        <w:rPr>
          <w:i w:val="1"/>
          <w:sz w:val="28"/>
          <w:szCs w:val="28"/>
          <w:rtl w:val="0"/>
        </w:rPr>
        <w:t xml:space="preserve">El País</w:t>
      </w:r>
      <w:r w:rsidDel="00000000" w:rsidR="00000000" w:rsidRPr="00000000">
        <w:rPr>
          <w:sz w:val="28"/>
          <w:szCs w:val="28"/>
          <w:rtl w:val="0"/>
        </w:rPr>
        <w:t xml:space="preserve">. Como poeta, su escritura oscila entre lo impresionista y lo mínimo, y ha publicado dietarios como </w:t>
      </w:r>
      <w:r w:rsidDel="00000000" w:rsidR="00000000" w:rsidRPr="00000000">
        <w:rPr>
          <w:i w:val="1"/>
          <w:sz w:val="28"/>
          <w:szCs w:val="28"/>
          <w:rtl w:val="0"/>
        </w:rPr>
        <w:t xml:space="preserve">La ronda de los días</w:t>
      </w:r>
      <w:r w:rsidDel="00000000" w:rsidR="00000000" w:rsidRPr="00000000">
        <w:rPr>
          <w:sz w:val="28"/>
          <w:szCs w:val="28"/>
          <w:rtl w:val="0"/>
        </w:rPr>
        <w:t xml:space="preserve">. Su perfil híbrido —gestor cultural, crítico, poeta— lo convierte en un lector atento a los cruces entre literatura, artes visuales y archivo, idóneo para presidir debates que exigen perspectiva histórica, sensibilidad estética y criterio curatorial.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-97152</wp:posOffset>
            </wp:positionH>
            <wp:positionV relativeFrom="page">
              <wp:posOffset>9753790</wp:posOffset>
            </wp:positionV>
            <wp:extent cx="7745730" cy="998841"/>
            <wp:effectExtent b="0" l="0" r="0" t="0"/>
            <wp:wrapNone/>
            <wp:docPr id="4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5730" cy="998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Cristina Fuentes La Roche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Gestora cultural y directora internacional del Hay Festival desde 2005. Ha impulsado y dirige las ediciones de Cartagena de Indias y Segovia (desde 2006), Querétaro (2010) y Arequipa (2015), además de programas de formación y mediación lectora como Hay Joven, Hay Comunitario y Hay Festivalito. Fue distinguida con la OBE (honorary) en 2019 por su labor de promoción cultural entre el Reino Unido y el mundo hispano. Impulsó plataformas de nuevos autores como Bogotá39, Beirut39, África39 y Aarhus39, referentes para mapear voces emergentes. Antes trabajó en Canning House y en Arts &amp; Business, en Londres. Su mirada combina logística global, sostenibilidad y diálogo entre disciplinas; en entrevistas recientes reivindica el espacio del festival como conversación abierta, no militante, donde coexisten enfoques diversos.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>
          <w:b w:val="1"/>
          <w:i w:val="1"/>
          <w:sz w:val="32"/>
          <w:szCs w:val="32"/>
        </w:rPr>
      </w:pPr>
      <w:r w:rsidDel="00000000" w:rsidR="00000000" w:rsidRPr="00000000">
        <w:rPr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-100963</wp:posOffset>
            </wp:positionH>
            <wp:positionV relativeFrom="page">
              <wp:posOffset>9757301</wp:posOffset>
            </wp:positionV>
            <wp:extent cx="7745730" cy="998841"/>
            <wp:effectExtent b="0" l="0" r="0" t="0"/>
            <wp:wrapNone/>
            <wp:docPr id="4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5730" cy="998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32"/>
          <w:szCs w:val="32"/>
          <w:rtl w:val="0"/>
        </w:rPr>
        <w:t xml:space="preserve">Valerie Miles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Editora, escritora y traductora (Nueva York, 1963), cofundadora de </w:t>
      </w:r>
      <w:r w:rsidDel="00000000" w:rsidR="00000000" w:rsidRPr="00000000">
        <w:rPr>
          <w:i w:val="1"/>
          <w:sz w:val="28"/>
          <w:szCs w:val="28"/>
          <w:rtl w:val="0"/>
        </w:rPr>
        <w:t xml:space="preserve">Granta en español</w:t>
      </w:r>
      <w:r w:rsidDel="00000000" w:rsidR="00000000" w:rsidRPr="00000000">
        <w:rPr>
          <w:sz w:val="28"/>
          <w:szCs w:val="28"/>
          <w:rtl w:val="0"/>
        </w:rPr>
        <w:t xml:space="preserve"> junto con Aurelio Major (2003). Fue directora editorial de Emecé en España y luego subdirectora de Alfaguara; más tarde fundó y dirigió Duomo Ediciones, donde combinó catálogo internacional y nuevas narrativas hispanoamericanas. Ha trabajado en el archivo de Roberto Bolaño y co-comisarió la exposición </w:t>
      </w:r>
      <w:r w:rsidDel="00000000" w:rsidR="00000000" w:rsidRPr="00000000">
        <w:rPr>
          <w:i w:val="1"/>
          <w:sz w:val="28"/>
          <w:szCs w:val="28"/>
          <w:rtl w:val="0"/>
        </w:rPr>
        <w:t xml:space="preserve">Archivo Bolaño. 1977–2003</w:t>
      </w:r>
      <w:r w:rsidDel="00000000" w:rsidR="00000000" w:rsidRPr="00000000">
        <w:rPr>
          <w:sz w:val="28"/>
          <w:szCs w:val="28"/>
          <w:rtl w:val="0"/>
        </w:rPr>
        <w:t xml:space="preserve"> (CCCB, 2013), hito curatorial para estudiar su obra. Es autora de la antología conversada </w:t>
      </w:r>
      <w:r w:rsidDel="00000000" w:rsidR="00000000" w:rsidRPr="00000000">
        <w:rPr>
          <w:i w:val="1"/>
          <w:sz w:val="28"/>
          <w:szCs w:val="28"/>
          <w:rtl w:val="0"/>
        </w:rPr>
        <w:t xml:space="preserve">Mil bosques en una bellota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i w:val="1"/>
          <w:sz w:val="28"/>
          <w:szCs w:val="28"/>
          <w:rtl w:val="0"/>
        </w:rPr>
        <w:t xml:space="preserve">A Thousand Forests in One Acorn</w:t>
      </w:r>
      <w:r w:rsidDel="00000000" w:rsidR="00000000" w:rsidRPr="00000000">
        <w:rPr>
          <w:sz w:val="28"/>
          <w:szCs w:val="28"/>
          <w:rtl w:val="0"/>
        </w:rPr>
        <w:t xml:space="preserve">) y enseña traducción y edición en la Universitat Pompeu Fabra. Su trayectoria la sitúa como puente entre circuitos hispánicos y anglosajones, con especial énfasis en descubrimiento de autores, rescate de clásicos y circulación transatlántica de literatura.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Mercedes Monmany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Ensayista, crítica y editora (Barcelona, 1957), especialista en literatura europea contemporánea. Ha sido crítica en </w:t>
      </w:r>
      <w:r w:rsidDel="00000000" w:rsidR="00000000" w:rsidRPr="00000000">
        <w:rPr>
          <w:i w:val="1"/>
          <w:sz w:val="28"/>
          <w:szCs w:val="28"/>
          <w:rtl w:val="0"/>
        </w:rPr>
        <w:t xml:space="preserve">ABC</w:t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i w:val="1"/>
          <w:sz w:val="28"/>
          <w:szCs w:val="28"/>
          <w:rtl w:val="0"/>
        </w:rPr>
        <w:t xml:space="preserve">La Vanguardia</w:t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i w:val="1"/>
          <w:sz w:val="28"/>
          <w:szCs w:val="28"/>
          <w:rtl w:val="0"/>
        </w:rPr>
        <w:t xml:space="preserve">El País</w:t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i w:val="1"/>
          <w:sz w:val="28"/>
          <w:szCs w:val="28"/>
          <w:rtl w:val="0"/>
        </w:rPr>
        <w:t xml:space="preserve">Revista de Libros</w:t>
      </w:r>
      <w:r w:rsidDel="00000000" w:rsidR="00000000" w:rsidRPr="00000000">
        <w:rPr>
          <w:sz w:val="28"/>
          <w:szCs w:val="28"/>
          <w:rtl w:val="0"/>
        </w:rPr>
        <w:t xml:space="preserve"> y </w:t>
      </w:r>
      <w:r w:rsidDel="00000000" w:rsidR="00000000" w:rsidRPr="00000000">
        <w:rPr>
          <w:i w:val="1"/>
          <w:sz w:val="28"/>
          <w:szCs w:val="28"/>
          <w:rtl w:val="0"/>
        </w:rPr>
        <w:t xml:space="preserve">Revista de Occidente</w:t>
      </w:r>
      <w:r w:rsidDel="00000000" w:rsidR="00000000" w:rsidRPr="00000000">
        <w:rPr>
          <w:sz w:val="28"/>
          <w:szCs w:val="28"/>
          <w:rtl w:val="0"/>
        </w:rPr>
        <w:t xml:space="preserve">. Entre sus libros destacan </w:t>
      </w:r>
      <w:r w:rsidDel="00000000" w:rsidR="00000000" w:rsidRPr="00000000">
        <w:rPr>
          <w:i w:val="1"/>
          <w:sz w:val="28"/>
          <w:szCs w:val="28"/>
          <w:rtl w:val="0"/>
        </w:rPr>
        <w:t xml:space="preserve">Por las fronteras de Europa. Un viaje por la narrativa de los siglos XX y XXI</w:t>
      </w:r>
      <w:r w:rsidDel="00000000" w:rsidR="00000000" w:rsidRPr="00000000">
        <w:rPr>
          <w:sz w:val="28"/>
          <w:szCs w:val="28"/>
          <w:rtl w:val="0"/>
        </w:rPr>
        <w:t xml:space="preserve"> (volumen de más de 1.400 páginas convertido en obra de referencia) y </w:t>
      </w:r>
      <w:r w:rsidDel="00000000" w:rsidR="00000000" w:rsidRPr="00000000">
        <w:rPr>
          <w:i w:val="1"/>
          <w:sz w:val="28"/>
          <w:szCs w:val="28"/>
          <w:rtl w:val="0"/>
        </w:rPr>
        <w:t xml:space="preserve">Ya sabes que volveré</w:t>
      </w:r>
      <w:r w:rsidDel="00000000" w:rsidR="00000000" w:rsidRPr="00000000">
        <w:rPr>
          <w:sz w:val="28"/>
          <w:szCs w:val="28"/>
          <w:rtl w:val="0"/>
        </w:rPr>
        <w:t xml:space="preserve"> (sobre Irène Némirovsky, Gertrud Kolmar y Etty Hillesum), donde explora memoria, Holocausto y legado literario. Reconocida con distinciones culturales de Francia, Italia y Serbia, su trabajo cartografía tradiciones, géneros y autores periféricos con erudición y sentido comparatista. Su presencia en el jurado aporta una mirada panorámica, transnacional y atenta a genealogías culturales que dialogan con la novela actual.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Daniel Mordzinski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Fotógrafo (Buenos Aires, 1960), célebre como “el fotógrafo de los escritores”: desde finales de los años setenta construye un “atlas humano” de la literatura con retratos de Borges, García Márquez, Vargas Llosa, Sampedro, Houellebecq y centenares más. Vive entre París y Lisboa y colabora con festivales como Hay, Centroamérica Cuenta y FILBA; ha realizado más de 150 exposiciones y publicado numerosos libros. Su método privilegia la complicidad y la escena inesperada —lo cotidiano del escritor, el fuera de pose— para revelar carácter e imaginación; él mismo lo resume como preparación intensa y “rabiosa improvisación”. Convertido en referente de la iconografía literaria iberoamericana, su ojo aporta al jurado una sensibilidad narrativa en imágenes: tempo, atmósfera y construcción de personaje, útiles para leer novelas desde otra luz.</w:t>
      </w:r>
      <w:r w:rsidDel="00000000" w:rsidR="00000000" w:rsidRPr="00000000">
        <w:rPr>
          <w:sz w:val="28"/>
          <w:szCs w:val="28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-53336</wp:posOffset>
            </wp:positionH>
            <wp:positionV relativeFrom="page">
              <wp:posOffset>9776776</wp:posOffset>
            </wp:positionV>
            <wp:extent cx="7671881" cy="990600"/>
            <wp:effectExtent b="0" l="0" r="0" t="0"/>
            <wp:wrapNone/>
            <wp:docPr id="4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1881" cy="99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8"/>
          <w:szCs w:val="28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-53336</wp:posOffset>
            </wp:positionH>
            <wp:positionV relativeFrom="page">
              <wp:posOffset>9768909</wp:posOffset>
            </wp:positionV>
            <wp:extent cx="7671881" cy="990600"/>
            <wp:effectExtent b="0" l="0" r="0" t="0"/>
            <wp:wrapNone/>
            <wp:docPr id="4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1881" cy="99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8"/>
          <w:szCs w:val="28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-53336</wp:posOffset>
            </wp:positionH>
            <wp:positionV relativeFrom="page">
              <wp:posOffset>9731405</wp:posOffset>
            </wp:positionV>
            <wp:extent cx="7671881" cy="990600"/>
            <wp:effectExtent b="0" l="0" r="0" t="0"/>
            <wp:wrapNone/>
            <wp:docPr id="4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1881" cy="99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40" w:w="11900" w:orient="portrait"/>
      <w:pgMar w:bottom="1417" w:top="1417" w:left="1701" w:right="1701" w:header="793.7007874015749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T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Inter" w:cs="Inter" w:eastAsia="Inter" w:hAnsi="Inter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Bienal Mario Vargas </w:t>
    </w:r>
    <w:r w:rsidDel="00000000" w:rsidR="00000000" w:rsidRPr="00000000">
      <w:rPr>
        <w:sz w:val="16"/>
        <w:szCs w:val="16"/>
        <w:rtl w:val="0"/>
      </w:rPr>
      <w:t xml:space="preserve">Llosa</w:t>
    </w:r>
    <w:r w:rsidDel="00000000" w:rsidR="00000000" w:rsidRPr="00000000">
      <w:rPr>
        <w:color w:val="2f5496"/>
        <w:sz w:val="16"/>
        <w:szCs w:val="16"/>
        <w:rtl w:val="0"/>
      </w:rPr>
      <w:tab/>
    </w:r>
    <w:r w:rsidDel="00000000" w:rsidR="00000000" w:rsidRPr="00000000">
      <w:rPr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bookmarkStart w:colFirst="0" w:colLast="0" w:name="_heading=h.jbbyjd9wvrv8" w:id="3"/>
    <w:bookmarkEnd w:id="3"/>
    <w:r w:rsidDel="00000000" w:rsidR="00000000" w:rsidRPr="00000000">
      <w:rPr>
        <w:rFonts w:ascii="Calibri" w:cs="Calibri" w:eastAsia="Calibri" w:hAnsi="Calibri"/>
        <w:color w:val="000000"/>
        <w:sz w:val="24"/>
        <w:szCs w:val="24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-51429</wp:posOffset>
          </wp:positionH>
          <wp:positionV relativeFrom="page">
            <wp:posOffset>-57145</wp:posOffset>
          </wp:positionV>
          <wp:extent cx="7734966" cy="999300"/>
          <wp:effectExtent b="0" l="0" r="0" t="0"/>
          <wp:wrapNone/>
          <wp:docPr id="4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82" l="0" r="0" t="84"/>
                  <a:stretch>
                    <a:fillRect/>
                  </a:stretch>
                </pic:blipFill>
                <pic:spPr>
                  <a:xfrm>
                    <a:off x="0" y="0"/>
                    <a:ext cx="7734966" cy="9993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 Tight" w:cs="Inter Tight" w:eastAsia="Inter Tight" w:hAnsi="Inter Tight"/>
        <w:color w:val="1a1a1a"/>
        <w:lang w:val="es-ES_tradnl"/>
      </w:rPr>
    </w:rPrDefault>
    <w:pPrDefault>
      <w:pPr>
        <w:spacing w:after="120" w:line="280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40" w:lineRule="auto"/>
    </w:pPr>
    <w:rPr>
      <w:sz w:val="80"/>
      <w:szCs w:val="80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sz w:val="44"/>
      <w:szCs w:val="4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sz w:val="30"/>
      <w:szCs w:val="30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spacing w:before="40" w:lineRule="auto"/>
    </w:pPr>
    <w:rPr>
      <w:b w:val="1"/>
      <w:sz w:val="80"/>
      <w:szCs w:val="80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074525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074525"/>
  </w:style>
  <w:style w:type="paragraph" w:styleId="Piedepgina">
    <w:name w:val="footer"/>
    <w:basedOn w:val="Normal"/>
    <w:link w:val="PiedepginaCar"/>
    <w:uiPriority w:val="99"/>
    <w:unhideWhenUsed w:val="1"/>
    <w:rsid w:val="00074525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074525"/>
  </w:style>
  <w:style w:type="character" w:styleId="Nmerodepgina">
    <w:name w:val="page number"/>
    <w:basedOn w:val="Fuentedeprrafopredeter"/>
    <w:uiPriority w:val="99"/>
    <w:semiHidden w:val="1"/>
    <w:unhideWhenUsed w:val="1"/>
    <w:rsid w:val="00074525"/>
  </w:style>
  <w:style w:type="character" w:styleId="Ttulo1Car" w:customStyle="1">
    <w:name w:val="Título 1 Car"/>
    <w:basedOn w:val="Fuentedeprrafopredeter"/>
    <w:link w:val="Ttulo1"/>
    <w:uiPriority w:val="9"/>
    <w:rsid w:val="00305870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305870"/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character" w:styleId="Ninguno" w:customStyle="1">
    <w:name w:val="Ninguno"/>
    <w:rsid w:val="00305870"/>
    <w:rPr>
      <w:lang w:val="es-ES_tradnl"/>
    </w:rPr>
  </w:style>
  <w:style w:type="paragraph" w:styleId="EstiloJustificado" w:customStyle="1">
    <w:name w:val="Estilo Justificado"/>
    <w:rsid w:val="0030587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120" w:line="280" w:lineRule="exact"/>
      <w:jc w:val="both"/>
    </w:pPr>
    <w:rPr>
      <w:rFonts w:ascii="Verdana Pro Light" w:cs="Verdana Pro Light" w:eastAsia="Verdana Pro Light" w:hAnsi="Verdana Pro Light"/>
      <w:color w:val="1a1a1a"/>
      <w:kern w:val="24"/>
      <w:sz w:val="20"/>
      <w:szCs w:val="20"/>
      <w:u w:color="1a1a1a"/>
      <w:bdr w:space="0" w:sz="0" w:val="nil"/>
      <w:lang w:eastAsia="es-ES_tradnl" w:val="es-ES_tradnl"/>
    </w:rPr>
  </w:style>
  <w:style w:type="paragraph" w:styleId="EstiloBodyJustificado" w:customStyle="1">
    <w:name w:val="Estilo Body + Justificado"/>
    <w:rsid w:val="0030587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before="120" w:line="280" w:lineRule="exact"/>
      <w:jc w:val="both"/>
    </w:pPr>
    <w:rPr>
      <w:rFonts w:ascii="Verdana Pro Light" w:cs="Verdana Pro Light" w:eastAsia="Verdana Pro Light" w:hAnsi="Verdana Pro Light"/>
      <w:color w:val="1a1a1a"/>
      <w:kern w:val="24"/>
      <w:sz w:val="20"/>
      <w:szCs w:val="20"/>
      <w:u w:color="1a1a1a"/>
      <w:bdr w:space="0" w:sz="0" w:val="nil"/>
      <w:lang w:eastAsia="es-ES_tradnl" w:val="es-ES_tradnl"/>
    </w:rPr>
  </w:style>
  <w:style w:type="table" w:styleId="Table1">
    <w:basedOn w:val="TableNormal"/>
    <w:tblPr>
      <w:tblStyleRowBandSize w:val="1"/>
      <w:tblStyleColBandSize w:val="1"/>
      <w:tblCellMar/>
    </w:tblPr>
  </w:style>
  <w:style w:type="paragraph" w:styleId="Subtitle">
    <w:name w:val="Subtitle"/>
    <w:basedOn w:val="Normal"/>
    <w:next w:val="Normal"/>
    <w:pPr>
      <w:keepNext w:val="1"/>
      <w:keepLines w:val="1"/>
      <w:spacing w:before="40" w:lineRule="auto"/>
    </w:pPr>
    <w:rPr>
      <w:sz w:val="36"/>
      <w:szCs w:val="36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Tight-regular.ttf"/><Relationship Id="rId6" Type="http://schemas.openxmlformats.org/officeDocument/2006/relationships/font" Target="fonts/InterTight-bold.ttf"/><Relationship Id="rId7" Type="http://schemas.openxmlformats.org/officeDocument/2006/relationships/font" Target="fonts/InterTight-italic.ttf"/><Relationship Id="rId8" Type="http://schemas.openxmlformats.org/officeDocument/2006/relationships/font" Target="fonts/InterT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0VG3xwMuKt2Sy3cE2ffo2Ypdg==">CgMxLjAyDmgud3hvcWxhaWhnZjAwMg5oLjU1eWs2OWIxaHgwcTIOaC5mejZoMml2aTFhbjMyDmguamJieWpkOXd2cnY4OAByITFxX21FdnZOOXJ1LS1Sd3A5Y3BieVJsWUw2MTdoWVNZWA==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2025-10-03T08:53:00Z</dcterms:created>
</cp:coreProperties>
</file>